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20" w:rsidRDefault="00191C20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91C20" w:rsidRDefault="00191C20">
      <w:pPr>
        <w:pStyle w:val="ConsPlusNormal"/>
        <w:jc w:val="both"/>
      </w:pPr>
    </w:p>
    <w:p w:rsidR="00191C20" w:rsidRDefault="00191C20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Об установлении заказчиком в проекте контракта требований к способу обеспечения исполнения контракта; об осуществлении заказчиком взыскания в случае неисполнения (ненадлежащего исполнения) обязательств поставщиком (подрядчиком, исполнителем); о дате и номере контракта, присвоенных на электронной площадке.</w:t>
      </w:r>
    </w:p>
    <w:p w:rsidR="00191C20" w:rsidRDefault="00191C20">
      <w:pPr>
        <w:pStyle w:val="ConsPlusNormal"/>
        <w:jc w:val="both"/>
      </w:pPr>
    </w:p>
    <w:p w:rsidR="00191C20" w:rsidRDefault="00191C20">
      <w:pPr>
        <w:pStyle w:val="ConsPlusNormal"/>
        <w:ind w:firstLine="540"/>
        <w:jc w:val="both"/>
      </w:pPr>
      <w:r>
        <w:rPr>
          <w:b/>
        </w:rPr>
        <w:t>Ответ:</w:t>
      </w:r>
    </w:p>
    <w:p w:rsidR="00191C20" w:rsidRDefault="00191C20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191C20" w:rsidRDefault="00191C20">
      <w:pPr>
        <w:pStyle w:val="ConsPlusTitle"/>
        <w:jc w:val="center"/>
      </w:pPr>
    </w:p>
    <w:p w:rsidR="00191C20" w:rsidRDefault="00191C20">
      <w:pPr>
        <w:pStyle w:val="ConsPlusTitle"/>
        <w:jc w:val="center"/>
      </w:pPr>
      <w:r>
        <w:t>ПИСЬМО</w:t>
      </w:r>
    </w:p>
    <w:p w:rsidR="00191C20" w:rsidRDefault="00191C20">
      <w:pPr>
        <w:pStyle w:val="ConsPlusTitle"/>
        <w:jc w:val="center"/>
      </w:pPr>
      <w:r>
        <w:t>от 30 июля 2015 г. N Д28и-2280</w:t>
      </w:r>
    </w:p>
    <w:p w:rsidR="00191C20" w:rsidRDefault="00191C20">
      <w:pPr>
        <w:pStyle w:val="ConsPlusNormal"/>
        <w:jc w:val="both"/>
      </w:pPr>
    </w:p>
    <w:p w:rsidR="00191C20" w:rsidRDefault="00191C20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по вопросу о применении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191C20" w:rsidRDefault="00191C2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Согласно </w:t>
      </w:r>
      <w:hyperlink r:id="rId7" w:history="1">
        <w:r>
          <w:rPr>
            <w:color w:val="0000FF"/>
          </w:rPr>
          <w:t>части 2 статьи 70</w:t>
        </w:r>
      </w:hyperlink>
      <w:r>
        <w:t xml:space="preserve"> Закона N 44-ФЗ заказчик размещает в единой информационной системе без своей подписи проект контракта, прилагаемый к документации об электронном аукционе, который составляется путем включения в него цены контракта, предложенной участником электронного аукциона, с которым заключается контракт, информации о товаре (товарном знаке и (или) конкретных показателях товара), указанной в заявке на участие в таком аукционе его</w:t>
      </w:r>
      <w:proofErr w:type="gramEnd"/>
      <w:r>
        <w:t xml:space="preserve"> участника.</w:t>
      </w:r>
    </w:p>
    <w:p w:rsidR="00191C20" w:rsidRDefault="00191C20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1 статьи 96</w:t>
        </w:r>
      </w:hyperlink>
      <w:r>
        <w:t xml:space="preserve"> Закона N 44-ФЗ заказчиком в извещении об осуществлении закупки, документации о закупке, проекте контракта, приглашении принять участие в определении поставщика (подрядчика, исполнителя) закрытым способом должно быть установлено требование обеспечения исполнения контракта.</w:t>
      </w:r>
    </w:p>
    <w:p w:rsidR="00191C20" w:rsidRDefault="00191C20">
      <w:pPr>
        <w:pStyle w:val="ConsPlusNormal"/>
        <w:ind w:firstLine="540"/>
        <w:jc w:val="both"/>
      </w:pPr>
      <w:r>
        <w:t>Исполнение контракта может обеспечиваться предоставлением банковской гарантии или внесением денежных средств на указанный заказчиком счет. Способ обеспечения исполнения контракта определяется самостоятельно участником закупки, с которым заключается контракт (</w:t>
      </w:r>
      <w:hyperlink r:id="rId9" w:history="1">
        <w:r>
          <w:rPr>
            <w:color w:val="0000FF"/>
          </w:rPr>
          <w:t>часть 3 статьи 96</w:t>
        </w:r>
      </w:hyperlink>
      <w:r>
        <w:t xml:space="preserve"> Закона N 44-ФЗ).</w:t>
      </w:r>
    </w:p>
    <w:p w:rsidR="00191C20" w:rsidRDefault="00191C20">
      <w:pPr>
        <w:pStyle w:val="ConsPlusNormal"/>
        <w:ind w:firstLine="540"/>
        <w:jc w:val="both"/>
      </w:pPr>
      <w:r>
        <w:t xml:space="preserve">В связи с </w:t>
      </w:r>
      <w:proofErr w:type="gramStart"/>
      <w:r>
        <w:t>тем</w:t>
      </w:r>
      <w:proofErr w:type="gramEnd"/>
      <w:r>
        <w:t xml:space="preserve"> что участник осуществляет выбор способа обеспечения исполнения контракта, заказчик обязан указать в проекте контракта требования к каждому способу обеспечения исполнения контракта.</w:t>
      </w:r>
    </w:p>
    <w:p w:rsidR="00191C20" w:rsidRDefault="00191C20">
      <w:pPr>
        <w:pStyle w:val="ConsPlusNormal"/>
        <w:ind w:firstLine="540"/>
        <w:jc w:val="both"/>
      </w:pPr>
      <w:r>
        <w:t xml:space="preserve">Таким образом, установление заказчиком в проекте контракта требований к каждому способу обеспечения исполнения контракта не является нарушением положений </w:t>
      </w:r>
      <w:hyperlink r:id="rId10" w:history="1">
        <w:r>
          <w:rPr>
            <w:color w:val="0000FF"/>
          </w:rPr>
          <w:t>Закона</w:t>
        </w:r>
      </w:hyperlink>
      <w:r>
        <w:t xml:space="preserve"> N 44-ФЗ. При этом необходимо указать на возможность предоставления одного из двух видов обеспечения исполнения контракта, предусмотренного положениями </w:t>
      </w:r>
      <w:hyperlink r:id="rId11" w:history="1">
        <w:r>
          <w:rPr>
            <w:color w:val="0000FF"/>
          </w:rPr>
          <w:t>Закона</w:t>
        </w:r>
      </w:hyperlink>
      <w:r>
        <w:t xml:space="preserve"> N 44-ФЗ.</w:t>
      </w:r>
    </w:p>
    <w:p w:rsidR="00191C20" w:rsidRDefault="00191C20">
      <w:pPr>
        <w:pStyle w:val="ConsPlusNormal"/>
        <w:ind w:firstLine="540"/>
        <w:jc w:val="both"/>
      </w:pPr>
      <w:r>
        <w:t xml:space="preserve">2. В случае неисполнения или ненадлежащего исполнения обязательств поставщиком (подрядчиком, исполнителем) заказчик осуществляет взыскание согласно положениям </w:t>
      </w:r>
      <w:hyperlink r:id="rId12" w:history="1">
        <w:r>
          <w:rPr>
            <w:color w:val="0000FF"/>
          </w:rPr>
          <w:t>Закона</w:t>
        </w:r>
      </w:hyperlink>
      <w:r>
        <w:t xml:space="preserve"> N 44-ФЗ в соответствии с предоставленным победителем закупки видом обеспечения исполнения контракта и условиями контракта.</w:t>
      </w:r>
    </w:p>
    <w:p w:rsidR="00191C20" w:rsidRDefault="00191C20">
      <w:pPr>
        <w:pStyle w:val="ConsPlusNormal"/>
        <w:ind w:firstLine="540"/>
        <w:jc w:val="both"/>
      </w:pPr>
      <w:r>
        <w:t xml:space="preserve">3. В соответствии с </w:t>
      </w:r>
      <w:hyperlink r:id="rId13" w:history="1">
        <w:r>
          <w:rPr>
            <w:color w:val="0000FF"/>
          </w:rPr>
          <w:t>частью 8 статьи 70</w:t>
        </w:r>
      </w:hyperlink>
      <w:r>
        <w:t xml:space="preserve"> Закона N 44-ФЗ с момента </w:t>
      </w:r>
      <w:proofErr w:type="gramStart"/>
      <w:r>
        <w:t>размещения</w:t>
      </w:r>
      <w:proofErr w:type="gramEnd"/>
      <w:r>
        <w:t xml:space="preserve"> в единой информационной системе предусмотренного </w:t>
      </w:r>
      <w:hyperlink r:id="rId14" w:history="1">
        <w:r>
          <w:rPr>
            <w:color w:val="0000FF"/>
          </w:rPr>
          <w:t>частью 7 статьи 70</w:t>
        </w:r>
      </w:hyperlink>
      <w:r>
        <w:t xml:space="preserve"> Закона N 44-ФЗ и подписанного заказчиком контракта он считается заключенным.</w:t>
      </w:r>
    </w:p>
    <w:p w:rsidR="00191C20" w:rsidRDefault="00191C20">
      <w:pPr>
        <w:pStyle w:val="ConsPlusNormal"/>
        <w:ind w:firstLine="540"/>
        <w:jc w:val="both"/>
      </w:pPr>
      <w:r>
        <w:t xml:space="preserve">Таким образом, датой заключения контракта считается день подписания заказчиком контракта в соответствии с </w:t>
      </w:r>
      <w:hyperlink r:id="rId15" w:history="1">
        <w:r>
          <w:rPr>
            <w:color w:val="0000FF"/>
          </w:rPr>
          <w:t>частью 8 статьи 70</w:t>
        </w:r>
      </w:hyperlink>
      <w:r>
        <w:t xml:space="preserve"> Закона N 44-ФЗ.</w:t>
      </w:r>
    </w:p>
    <w:p w:rsidR="00191C20" w:rsidRDefault="00191C20">
      <w:pPr>
        <w:pStyle w:val="ConsPlusNormal"/>
        <w:ind w:firstLine="540"/>
        <w:jc w:val="both"/>
      </w:pPr>
      <w:r>
        <w:t>Также отмечаем, что номер контракту присваивается электронной площадкой при создании карточки контракта в личном кабинете заказчика.</w:t>
      </w:r>
    </w:p>
    <w:p w:rsidR="00191C20" w:rsidRDefault="00191C20">
      <w:pPr>
        <w:pStyle w:val="ConsPlusNormal"/>
        <w:ind w:firstLine="540"/>
        <w:jc w:val="both"/>
      </w:pPr>
      <w:r>
        <w:t>Учитывая изложенное, по мнению Департамента развития контрактной системы Минэкономразвития России, заказчик может руководствоваться информацией о дате и номере контракта, которые были присвоены данному контракту на электронной площадке.</w:t>
      </w:r>
    </w:p>
    <w:p w:rsidR="00191C20" w:rsidRDefault="00191C20">
      <w:pPr>
        <w:pStyle w:val="ConsPlusNormal"/>
        <w:ind w:firstLine="540"/>
        <w:jc w:val="both"/>
      </w:pPr>
      <w:r>
        <w:t xml:space="preserve">Одновременно обращаем внимание, что юридическую силу имеют разъяснения органа </w:t>
      </w:r>
      <w:r>
        <w:lastRenderedPageBreak/>
        <w:t xml:space="preserve">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</w:t>
      </w:r>
    </w:p>
    <w:p w:rsidR="00191C20" w:rsidRDefault="00191C20">
      <w:pPr>
        <w:pStyle w:val="ConsPlusNormal"/>
        <w:ind w:firstLine="540"/>
        <w:jc w:val="both"/>
      </w:pPr>
      <w:r>
        <w:t xml:space="preserve">В соответствии с </w:t>
      </w:r>
      <w:hyperlink r:id="rId16" w:history="1">
        <w:r>
          <w:rPr>
            <w:color w:val="0000FF"/>
          </w:rPr>
          <w:t>Положением</w:t>
        </w:r>
      </w:hyperlink>
      <w:r>
        <w:t xml:space="preserve">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Федерации, а также нормативных правовых актов субъекта Российской Федерации.</w:t>
      </w:r>
    </w:p>
    <w:p w:rsidR="00191C20" w:rsidRDefault="00191C20">
      <w:pPr>
        <w:pStyle w:val="ConsPlusNormal"/>
        <w:jc w:val="both"/>
      </w:pPr>
    </w:p>
    <w:p w:rsidR="00191C20" w:rsidRDefault="00191C20">
      <w:pPr>
        <w:pStyle w:val="ConsPlusNormal"/>
        <w:jc w:val="right"/>
      </w:pPr>
      <w:r>
        <w:t>Врио директора</w:t>
      </w:r>
    </w:p>
    <w:p w:rsidR="00191C20" w:rsidRDefault="00191C20">
      <w:pPr>
        <w:pStyle w:val="ConsPlusNormal"/>
        <w:jc w:val="right"/>
      </w:pPr>
      <w:r>
        <w:t>Департамента развития</w:t>
      </w:r>
    </w:p>
    <w:p w:rsidR="00191C20" w:rsidRDefault="00191C20">
      <w:pPr>
        <w:pStyle w:val="ConsPlusNormal"/>
        <w:jc w:val="right"/>
      </w:pPr>
      <w:r>
        <w:t>контрактной системы</w:t>
      </w:r>
    </w:p>
    <w:p w:rsidR="00191C20" w:rsidRDefault="00191C20">
      <w:pPr>
        <w:pStyle w:val="ConsPlusNormal"/>
        <w:jc w:val="right"/>
      </w:pPr>
      <w:r>
        <w:t>Д.А.ГОТОВЦЕВ</w:t>
      </w:r>
    </w:p>
    <w:p w:rsidR="00191C20" w:rsidRDefault="00191C20">
      <w:pPr>
        <w:pStyle w:val="ConsPlusNormal"/>
      </w:pPr>
      <w:r>
        <w:t>30.07.2015</w:t>
      </w:r>
    </w:p>
    <w:p w:rsidR="00191C20" w:rsidRDefault="00191C20">
      <w:pPr>
        <w:pStyle w:val="ConsPlusNormal"/>
      </w:pPr>
    </w:p>
    <w:p w:rsidR="00191C20" w:rsidRDefault="00191C20">
      <w:pPr>
        <w:pStyle w:val="ConsPlusNormal"/>
      </w:pPr>
    </w:p>
    <w:p w:rsidR="00191C20" w:rsidRDefault="00191C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5673" w:rsidRDefault="004F5673"/>
    <w:sectPr w:rsidR="004F5673" w:rsidSect="009E3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C20"/>
    <w:rsid w:val="00191C20"/>
    <w:rsid w:val="004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C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1C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1C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C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1C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1C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97A89A833CBB7D829EEC736F0709E99ADF8DB988E544F234655FD2E07DA7795F5089349F9EDB22v3JFN" TargetMode="External"/><Relationship Id="rId13" Type="http://schemas.openxmlformats.org/officeDocument/2006/relationships/hyperlink" Target="consultantplus://offline/ref=C297A89A833CBB7D829EEC736F0709E99ADF8DB988E544F234655FD2E07DA7795F5089349F9FD122v3J2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97A89A833CBB7D829EEC736F0709E99ADF8DB988E544F234655FD2E07DA7795F5089349F9FD122v3J8N" TargetMode="External"/><Relationship Id="rId12" Type="http://schemas.openxmlformats.org/officeDocument/2006/relationships/hyperlink" Target="consultantplus://offline/ref=C297A89A833CBB7D829EEC736F0709E99ADF8DB988E544F234655FD2E0v7JDN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297A89A833CBB7D829EEC736F0709E99ADF8DBB8FEC44F234655FD2E07DA7795F5089349F9FD824v3JC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297A89A833CBB7D829EEC736F0709E99ADF8DB988E544F234655FD2E0v7JDN" TargetMode="External"/><Relationship Id="rId11" Type="http://schemas.openxmlformats.org/officeDocument/2006/relationships/hyperlink" Target="consultantplus://offline/ref=C297A89A833CBB7D829EEC736F0709E99ADF8DB988E544F234655FD2E07DA7795F5089349F9EDB22v3JD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297A89A833CBB7D829EEC736F0709E99ADF8DB988E544F234655FD2E07DA7795F5089349F9FD122v3J2N" TargetMode="External"/><Relationship Id="rId10" Type="http://schemas.openxmlformats.org/officeDocument/2006/relationships/hyperlink" Target="consultantplus://offline/ref=C297A89A833CBB7D829EEC736F0709E99ADF8DB988E544F234655FD2E0v7J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97A89A833CBB7D829EEC736F0709E99ADF8DB988E544F234655FD2E07DA7795F5089349F9EDB22v3JDN" TargetMode="External"/><Relationship Id="rId14" Type="http://schemas.openxmlformats.org/officeDocument/2006/relationships/hyperlink" Target="consultantplus://offline/ref=C297A89A833CBB7D829EEC736F0709E99ADF8DB988E544F234655FD2E07DA7795F5089349F9FD122v3J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2015-10-20T13:09:00Z</dcterms:created>
  <dcterms:modified xsi:type="dcterms:W3CDTF">2015-10-20T13:10:00Z</dcterms:modified>
</cp:coreProperties>
</file>